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40" w:rsidRPr="00F64E40" w:rsidRDefault="00F64E40" w:rsidP="00F64E40">
      <w:pPr>
        <w:pStyle w:val="FL"/>
        <w:tabs>
          <w:tab w:val="right" w:pos="360"/>
          <w:tab w:val="left" w:pos="540"/>
        </w:tabs>
        <w:spacing w:line="240" w:lineRule="exact"/>
        <w:ind w:left="540" w:hanging="540"/>
        <w:jc w:val="left"/>
        <w:rPr>
          <w:rFonts w:ascii="Arial" w:hAnsi="Arial" w:cs="Arial"/>
          <w:sz w:val="20"/>
        </w:rPr>
      </w:pPr>
      <w:r w:rsidRPr="00F64E40">
        <w:rPr>
          <w:rFonts w:ascii="Arial" w:hAnsi="Arial" w:cs="Arial"/>
          <w:sz w:val="20"/>
        </w:rPr>
        <w:t xml:space="preserve">Table </w:t>
      </w:r>
      <w:r w:rsidR="00F078D8">
        <w:rPr>
          <w:rFonts w:ascii="Arial" w:hAnsi="Arial" w:cs="Arial"/>
          <w:sz w:val="20"/>
        </w:rPr>
        <w:t>II</w:t>
      </w:r>
      <w:r w:rsidRPr="00F64E40">
        <w:rPr>
          <w:rFonts w:ascii="Arial" w:hAnsi="Arial" w:cs="Arial"/>
          <w:sz w:val="20"/>
        </w:rPr>
        <w:t>d. Antiplatelet and antithrombotic medications used in pediatric thrombosis</w:t>
      </w:r>
    </w:p>
    <w:tbl>
      <w:tblPr>
        <w:tblW w:w="100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4"/>
        <w:gridCol w:w="2025"/>
        <w:gridCol w:w="2597"/>
        <w:gridCol w:w="1640"/>
        <w:gridCol w:w="2152"/>
      </w:tblGrid>
      <w:tr w:rsidR="00F64E40" w:rsidRPr="00F64E40" w:rsidTr="00D91C5A">
        <w:tc>
          <w:tcPr>
            <w:tcW w:w="1684" w:type="dxa"/>
          </w:tcPr>
          <w:p w:rsidR="00F64E40" w:rsidRPr="00F64E40" w:rsidRDefault="00F64E40" w:rsidP="00D91C5A">
            <w:pPr>
              <w:pStyle w:val="FL"/>
              <w:tabs>
                <w:tab w:val="right" w:pos="360"/>
                <w:tab w:val="left" w:pos="540"/>
              </w:tabs>
              <w:spacing w:line="240" w:lineRule="exact"/>
              <w:jc w:val="left"/>
              <w:rPr>
                <w:rFonts w:ascii="Arial" w:hAnsi="Arial" w:cs="Arial"/>
                <w:b/>
                <w:sz w:val="20"/>
              </w:rPr>
            </w:pPr>
            <w:r w:rsidRPr="00F64E40">
              <w:rPr>
                <w:rFonts w:ascii="Arial" w:hAnsi="Arial" w:cs="Arial"/>
                <w:b/>
                <w:sz w:val="20"/>
              </w:rPr>
              <w:t>Drug</w:t>
            </w:r>
          </w:p>
        </w:tc>
        <w:tc>
          <w:tcPr>
            <w:tcW w:w="2025" w:type="dxa"/>
          </w:tcPr>
          <w:p w:rsidR="00F64E40" w:rsidRPr="00F64E40" w:rsidRDefault="00F64E40" w:rsidP="00D91C5A">
            <w:pPr>
              <w:pStyle w:val="FL"/>
              <w:tabs>
                <w:tab w:val="right" w:pos="360"/>
                <w:tab w:val="left" w:pos="540"/>
              </w:tabs>
              <w:spacing w:line="240" w:lineRule="exact"/>
              <w:jc w:val="left"/>
              <w:rPr>
                <w:rFonts w:ascii="Arial" w:hAnsi="Arial" w:cs="Arial"/>
                <w:b/>
                <w:sz w:val="20"/>
              </w:rPr>
            </w:pPr>
            <w:r w:rsidRPr="00F64E40">
              <w:rPr>
                <w:rFonts w:ascii="Arial" w:hAnsi="Arial" w:cs="Arial"/>
                <w:b/>
                <w:sz w:val="20"/>
              </w:rPr>
              <w:t>Treatment Dose</w:t>
            </w:r>
          </w:p>
        </w:tc>
        <w:tc>
          <w:tcPr>
            <w:tcW w:w="2597" w:type="dxa"/>
          </w:tcPr>
          <w:p w:rsidR="00F64E40" w:rsidRPr="00F64E40" w:rsidRDefault="00F64E40" w:rsidP="00D91C5A">
            <w:pPr>
              <w:pStyle w:val="FL"/>
              <w:tabs>
                <w:tab w:val="right" w:pos="360"/>
                <w:tab w:val="left" w:pos="540"/>
              </w:tabs>
              <w:spacing w:line="240" w:lineRule="exact"/>
              <w:jc w:val="left"/>
              <w:rPr>
                <w:rFonts w:ascii="Arial" w:hAnsi="Arial" w:cs="Arial"/>
                <w:b/>
                <w:sz w:val="20"/>
              </w:rPr>
            </w:pPr>
            <w:r w:rsidRPr="00F64E40">
              <w:rPr>
                <w:rFonts w:ascii="Arial" w:hAnsi="Arial" w:cs="Arial"/>
                <w:b/>
                <w:sz w:val="20"/>
              </w:rPr>
              <w:t>Monitoring</w:t>
            </w:r>
          </w:p>
        </w:tc>
        <w:tc>
          <w:tcPr>
            <w:tcW w:w="1640" w:type="dxa"/>
          </w:tcPr>
          <w:p w:rsidR="00F64E40" w:rsidRPr="00F64E40" w:rsidRDefault="00F64E40" w:rsidP="00D91C5A">
            <w:pPr>
              <w:pStyle w:val="FL"/>
              <w:tabs>
                <w:tab w:val="right" w:pos="360"/>
                <w:tab w:val="left" w:pos="540"/>
              </w:tabs>
              <w:spacing w:line="240" w:lineRule="exact"/>
              <w:jc w:val="left"/>
              <w:rPr>
                <w:rFonts w:ascii="Arial" w:hAnsi="Arial" w:cs="Arial"/>
                <w:b/>
                <w:sz w:val="20"/>
              </w:rPr>
            </w:pPr>
            <w:r w:rsidRPr="00F64E40">
              <w:rPr>
                <w:rFonts w:ascii="Arial" w:hAnsi="Arial" w:cs="Arial"/>
                <w:b/>
                <w:sz w:val="20"/>
              </w:rPr>
              <w:t>Mechanism</w:t>
            </w:r>
          </w:p>
        </w:tc>
        <w:tc>
          <w:tcPr>
            <w:tcW w:w="2152" w:type="dxa"/>
          </w:tcPr>
          <w:p w:rsidR="00F64E40" w:rsidRPr="00F64E40" w:rsidRDefault="00F64E40" w:rsidP="00D91C5A">
            <w:pPr>
              <w:pStyle w:val="FL"/>
              <w:tabs>
                <w:tab w:val="right" w:pos="360"/>
                <w:tab w:val="left" w:pos="540"/>
              </w:tabs>
              <w:spacing w:line="240" w:lineRule="exact"/>
              <w:jc w:val="left"/>
              <w:rPr>
                <w:rFonts w:ascii="Arial" w:hAnsi="Arial" w:cs="Arial"/>
                <w:b/>
                <w:sz w:val="20"/>
              </w:rPr>
            </w:pPr>
            <w:r w:rsidRPr="00F64E40">
              <w:rPr>
                <w:rFonts w:ascii="Arial" w:hAnsi="Arial" w:cs="Arial"/>
                <w:b/>
                <w:sz w:val="20"/>
              </w:rPr>
              <w:t>Comments</w:t>
            </w:r>
          </w:p>
        </w:tc>
      </w:tr>
      <w:tr w:rsidR="00F64E40" w:rsidRPr="00F64E40" w:rsidTr="00D91C5A">
        <w:tc>
          <w:tcPr>
            <w:tcW w:w="1684" w:type="dxa"/>
          </w:tcPr>
          <w:p w:rsidR="00F64E40" w:rsidRPr="00F64E40" w:rsidRDefault="00F64E40" w:rsidP="00D91C5A">
            <w:pPr>
              <w:pStyle w:val="FL"/>
              <w:tabs>
                <w:tab w:val="right" w:pos="360"/>
                <w:tab w:val="left" w:pos="540"/>
              </w:tabs>
              <w:spacing w:line="240" w:lineRule="exact"/>
              <w:jc w:val="left"/>
              <w:rPr>
                <w:rFonts w:ascii="Arial" w:hAnsi="Arial" w:cs="Arial"/>
                <w:b/>
                <w:sz w:val="20"/>
              </w:rPr>
            </w:pPr>
            <w:r w:rsidRPr="00F64E40">
              <w:rPr>
                <w:rFonts w:ascii="Arial" w:hAnsi="Arial" w:cs="Arial"/>
                <w:b/>
                <w:sz w:val="20"/>
              </w:rPr>
              <w:t>Oral antiplatelet drugs</w:t>
            </w:r>
          </w:p>
        </w:tc>
        <w:tc>
          <w:tcPr>
            <w:tcW w:w="2025" w:type="dxa"/>
          </w:tcPr>
          <w:p w:rsidR="00F64E40" w:rsidRPr="00F64E40" w:rsidRDefault="00F64E40" w:rsidP="00D91C5A">
            <w:pPr>
              <w:pStyle w:val="FL"/>
              <w:tabs>
                <w:tab w:val="right" w:pos="360"/>
                <w:tab w:val="left" w:pos="540"/>
              </w:tabs>
              <w:spacing w:line="240" w:lineRule="exact"/>
              <w:rPr>
                <w:rFonts w:ascii="Arial" w:hAnsi="Arial" w:cs="Arial"/>
                <w:sz w:val="20"/>
              </w:rPr>
            </w:pPr>
          </w:p>
        </w:tc>
        <w:tc>
          <w:tcPr>
            <w:tcW w:w="2597" w:type="dxa"/>
          </w:tcPr>
          <w:p w:rsidR="00F64E40" w:rsidRPr="00F64E40" w:rsidRDefault="00F64E40" w:rsidP="00D91C5A">
            <w:pPr>
              <w:pStyle w:val="FL"/>
              <w:tabs>
                <w:tab w:val="right" w:pos="360"/>
                <w:tab w:val="left" w:pos="540"/>
              </w:tabs>
              <w:spacing w:line="240" w:lineRule="exact"/>
              <w:jc w:val="left"/>
              <w:rPr>
                <w:rFonts w:ascii="Arial" w:hAnsi="Arial" w:cs="Arial"/>
                <w:sz w:val="20"/>
              </w:rPr>
            </w:pPr>
          </w:p>
        </w:tc>
        <w:tc>
          <w:tcPr>
            <w:tcW w:w="1640" w:type="dxa"/>
          </w:tcPr>
          <w:p w:rsidR="00F64E40" w:rsidRPr="00F64E40" w:rsidRDefault="00F64E40" w:rsidP="00D91C5A">
            <w:pPr>
              <w:pStyle w:val="FL"/>
              <w:tabs>
                <w:tab w:val="right" w:pos="360"/>
                <w:tab w:val="left" w:pos="540"/>
              </w:tabs>
              <w:spacing w:line="240" w:lineRule="exact"/>
              <w:jc w:val="left"/>
              <w:rPr>
                <w:rFonts w:ascii="Arial" w:hAnsi="Arial" w:cs="Arial"/>
                <w:sz w:val="20"/>
              </w:rPr>
            </w:pPr>
          </w:p>
        </w:tc>
        <w:tc>
          <w:tcPr>
            <w:tcW w:w="2152" w:type="dxa"/>
          </w:tcPr>
          <w:p w:rsidR="00F64E40" w:rsidRPr="00F64E40" w:rsidRDefault="00F64E40" w:rsidP="00D91C5A">
            <w:pPr>
              <w:pStyle w:val="FL"/>
              <w:tabs>
                <w:tab w:val="right" w:pos="360"/>
                <w:tab w:val="left" w:pos="540"/>
              </w:tabs>
              <w:spacing w:line="240" w:lineRule="exact"/>
              <w:jc w:val="left"/>
              <w:rPr>
                <w:rFonts w:ascii="Arial" w:hAnsi="Arial" w:cs="Arial"/>
                <w:sz w:val="20"/>
              </w:rPr>
            </w:pPr>
          </w:p>
        </w:tc>
      </w:tr>
      <w:tr w:rsidR="00F64E40" w:rsidRPr="00F64E40" w:rsidTr="00D91C5A">
        <w:tc>
          <w:tcPr>
            <w:tcW w:w="1684" w:type="dxa"/>
          </w:tcPr>
          <w:p w:rsidR="00F64E40" w:rsidRPr="00F64E40" w:rsidRDefault="00F64E40" w:rsidP="00D91C5A">
            <w:pPr>
              <w:pStyle w:val="FL"/>
              <w:tabs>
                <w:tab w:val="right" w:pos="360"/>
                <w:tab w:val="left" w:pos="540"/>
              </w:tabs>
              <w:spacing w:line="240" w:lineRule="exact"/>
              <w:jc w:val="left"/>
              <w:rPr>
                <w:rFonts w:ascii="Arial" w:hAnsi="Arial" w:cs="Arial"/>
                <w:sz w:val="20"/>
              </w:rPr>
            </w:pPr>
            <w:r w:rsidRPr="00F64E40">
              <w:rPr>
                <w:rFonts w:ascii="Arial" w:hAnsi="Arial" w:cs="Arial"/>
                <w:sz w:val="20"/>
              </w:rPr>
              <w:t>Aspirin</w:t>
            </w:r>
          </w:p>
        </w:tc>
        <w:tc>
          <w:tcPr>
            <w:tcW w:w="2025" w:type="dxa"/>
          </w:tcPr>
          <w:p w:rsidR="00F64E40" w:rsidRPr="00F64E40" w:rsidRDefault="00F64E40" w:rsidP="00D91C5A">
            <w:pPr>
              <w:pStyle w:val="FL"/>
              <w:tabs>
                <w:tab w:val="right" w:pos="360"/>
                <w:tab w:val="left" w:pos="540"/>
              </w:tabs>
              <w:spacing w:line="240" w:lineRule="exact"/>
              <w:jc w:val="left"/>
              <w:rPr>
                <w:rFonts w:ascii="Arial" w:hAnsi="Arial" w:cs="Arial"/>
                <w:sz w:val="20"/>
              </w:rPr>
            </w:pPr>
            <w:r w:rsidRPr="00F64E40">
              <w:rPr>
                <w:rFonts w:ascii="Arial" w:hAnsi="Arial" w:cs="Arial"/>
                <w:sz w:val="20"/>
              </w:rPr>
              <w:t>Prophylaxis: 1-5 mg/kg/day Kawasaki disease: 80-100 mg/kg/day for 2 weeks followed by 3-5 mg/kg/day for 7 weeks or until coronary artery narrowing improves (if present).</w:t>
            </w:r>
          </w:p>
        </w:tc>
        <w:tc>
          <w:tcPr>
            <w:tcW w:w="2597" w:type="dxa"/>
          </w:tcPr>
          <w:p w:rsidR="00F64E40" w:rsidRPr="00F64E40" w:rsidRDefault="00F64E40" w:rsidP="00D91C5A">
            <w:pPr>
              <w:pStyle w:val="FL"/>
              <w:tabs>
                <w:tab w:val="right" w:pos="360"/>
                <w:tab w:val="left" w:pos="540"/>
              </w:tabs>
              <w:spacing w:line="240" w:lineRule="exact"/>
              <w:jc w:val="left"/>
              <w:rPr>
                <w:rFonts w:ascii="Arial" w:hAnsi="Arial" w:cs="Arial"/>
                <w:sz w:val="20"/>
              </w:rPr>
            </w:pPr>
            <w:r w:rsidRPr="00F64E40">
              <w:rPr>
                <w:rFonts w:ascii="Arial" w:hAnsi="Arial" w:cs="Arial"/>
                <w:sz w:val="20"/>
              </w:rPr>
              <w:t>Used in low doses to inhibit platelet aggregation and impro</w:t>
            </w:r>
            <w:r w:rsidR="00F078D8">
              <w:rPr>
                <w:rFonts w:ascii="Arial" w:hAnsi="Arial" w:cs="Arial"/>
                <w:sz w:val="20"/>
              </w:rPr>
              <w:t>ve complications of venous stasi</w:t>
            </w:r>
            <w:r w:rsidRPr="00F64E40">
              <w:rPr>
                <w:rFonts w:ascii="Arial" w:hAnsi="Arial" w:cs="Arial"/>
                <w:sz w:val="20"/>
              </w:rPr>
              <w:t>s and thrombosis.</w:t>
            </w:r>
          </w:p>
        </w:tc>
        <w:tc>
          <w:tcPr>
            <w:tcW w:w="1640" w:type="dxa"/>
          </w:tcPr>
          <w:p w:rsidR="00F64E40" w:rsidRPr="00F64E40" w:rsidRDefault="00F64E40" w:rsidP="00D91C5A">
            <w:pPr>
              <w:pStyle w:val="FL"/>
              <w:tabs>
                <w:tab w:val="right" w:pos="360"/>
                <w:tab w:val="left" w:pos="540"/>
              </w:tabs>
              <w:spacing w:line="240" w:lineRule="exact"/>
              <w:jc w:val="left"/>
              <w:rPr>
                <w:rFonts w:ascii="Arial" w:hAnsi="Arial" w:cs="Arial"/>
                <w:sz w:val="20"/>
              </w:rPr>
            </w:pPr>
            <w:r w:rsidRPr="00F64E40">
              <w:rPr>
                <w:rFonts w:ascii="Arial" w:hAnsi="Arial" w:cs="Arial"/>
                <w:sz w:val="20"/>
              </w:rPr>
              <w:t>Permanently inactivates cyclooxygenase and prevents thromboxane A2 production in platelets. Platelet function does not fully recover until new platelets are made without aspirin present (5 to 10 days after the last dose)</w:t>
            </w:r>
          </w:p>
        </w:tc>
        <w:tc>
          <w:tcPr>
            <w:tcW w:w="2152" w:type="dxa"/>
          </w:tcPr>
          <w:p w:rsidR="00F64E40" w:rsidRPr="00F64E40" w:rsidRDefault="00F64E40" w:rsidP="00D91C5A">
            <w:pPr>
              <w:pStyle w:val="FL"/>
              <w:tabs>
                <w:tab w:val="right" w:pos="360"/>
                <w:tab w:val="left" w:pos="540"/>
              </w:tabs>
              <w:spacing w:line="240" w:lineRule="exact"/>
              <w:jc w:val="left"/>
              <w:rPr>
                <w:rFonts w:ascii="Arial" w:hAnsi="Arial" w:cs="Arial"/>
                <w:sz w:val="20"/>
              </w:rPr>
            </w:pPr>
            <w:r w:rsidRPr="00F64E40">
              <w:rPr>
                <w:rFonts w:ascii="Arial" w:hAnsi="Arial" w:cs="Arial"/>
                <w:sz w:val="20"/>
              </w:rPr>
              <w:t>Inactivating platelets in patients on therapeutic doses of anticoagulation is relatively contraindicated, since major hemorrhage can result. Shorter-acting platelet inhibitors should be considered in this setting so that effects can be quickly reversed if hemorrhage occurs.</w:t>
            </w:r>
          </w:p>
        </w:tc>
      </w:tr>
      <w:tr w:rsidR="00F64E40" w:rsidRPr="00F64E40" w:rsidTr="00D91C5A">
        <w:tc>
          <w:tcPr>
            <w:tcW w:w="1684" w:type="dxa"/>
          </w:tcPr>
          <w:p w:rsidR="00F64E40" w:rsidRPr="00F64E40" w:rsidRDefault="00F64E40" w:rsidP="00D91C5A">
            <w:pPr>
              <w:pStyle w:val="FL"/>
              <w:tabs>
                <w:tab w:val="right" w:pos="360"/>
                <w:tab w:val="left" w:pos="540"/>
              </w:tabs>
              <w:spacing w:line="240" w:lineRule="exact"/>
              <w:jc w:val="left"/>
              <w:rPr>
                <w:rFonts w:ascii="Arial" w:hAnsi="Arial" w:cs="Arial"/>
                <w:sz w:val="20"/>
              </w:rPr>
            </w:pPr>
            <w:r w:rsidRPr="00F64E40">
              <w:rPr>
                <w:rFonts w:ascii="Arial" w:hAnsi="Arial" w:cs="Arial"/>
                <w:sz w:val="20"/>
              </w:rPr>
              <w:t>Clopidogrel</w:t>
            </w:r>
          </w:p>
        </w:tc>
        <w:tc>
          <w:tcPr>
            <w:tcW w:w="2025" w:type="dxa"/>
          </w:tcPr>
          <w:p w:rsidR="00F64E40" w:rsidRPr="00F64E40" w:rsidRDefault="00F64E40" w:rsidP="00D91C5A">
            <w:pPr>
              <w:pStyle w:val="FL"/>
              <w:tabs>
                <w:tab w:val="right" w:pos="360"/>
                <w:tab w:val="left" w:pos="540"/>
              </w:tabs>
              <w:spacing w:line="240" w:lineRule="exact"/>
              <w:jc w:val="left"/>
              <w:rPr>
                <w:rFonts w:ascii="Arial" w:hAnsi="Arial" w:cs="Arial"/>
                <w:sz w:val="20"/>
              </w:rPr>
            </w:pPr>
            <w:r w:rsidRPr="00F64E40">
              <w:rPr>
                <w:rFonts w:ascii="Arial" w:hAnsi="Arial" w:cs="Arial"/>
                <w:sz w:val="20"/>
              </w:rPr>
              <w:t xml:space="preserve">Age </w:t>
            </w:r>
            <w:r w:rsidRPr="00F64E40">
              <w:rPr>
                <w:rFonts w:ascii="Arial" w:hAnsi="Arial" w:cs="Arial"/>
                <w:sz w:val="20"/>
                <w:u w:val="single"/>
              </w:rPr>
              <w:t>&lt;</w:t>
            </w:r>
            <w:r w:rsidRPr="00F64E40">
              <w:rPr>
                <w:rFonts w:ascii="Arial" w:hAnsi="Arial" w:cs="Arial"/>
                <w:sz w:val="20"/>
              </w:rPr>
              <w:t xml:space="preserve"> 2 years: 0.2 mg/kg/dose once daily. </w:t>
            </w:r>
          </w:p>
          <w:p w:rsidR="00F64E40" w:rsidRPr="00F64E40" w:rsidRDefault="00F64E40" w:rsidP="00D91C5A">
            <w:pPr>
              <w:pStyle w:val="FL"/>
              <w:tabs>
                <w:tab w:val="right" w:pos="360"/>
                <w:tab w:val="left" w:pos="540"/>
              </w:tabs>
              <w:spacing w:line="240" w:lineRule="exact"/>
              <w:jc w:val="left"/>
              <w:rPr>
                <w:rFonts w:ascii="Arial" w:hAnsi="Arial" w:cs="Arial"/>
                <w:sz w:val="20"/>
              </w:rPr>
            </w:pPr>
            <w:r w:rsidRPr="00F64E40">
              <w:rPr>
                <w:rFonts w:ascii="Arial" w:hAnsi="Arial" w:cs="Arial"/>
                <w:sz w:val="20"/>
              </w:rPr>
              <w:t>Age &gt; 2 years: 1 mg/kg/dose once daily (maximum 75 mg, which is the adult dose).</w:t>
            </w:r>
          </w:p>
        </w:tc>
        <w:tc>
          <w:tcPr>
            <w:tcW w:w="2597" w:type="dxa"/>
          </w:tcPr>
          <w:p w:rsidR="00F64E40" w:rsidRPr="00F64E40" w:rsidRDefault="00F64E40" w:rsidP="00D91C5A">
            <w:pPr>
              <w:pStyle w:val="FL"/>
              <w:tabs>
                <w:tab w:val="right" w:pos="360"/>
                <w:tab w:val="left" w:pos="540"/>
              </w:tabs>
              <w:spacing w:line="240" w:lineRule="exact"/>
              <w:jc w:val="left"/>
              <w:rPr>
                <w:rFonts w:ascii="Arial" w:hAnsi="Arial" w:cs="Arial"/>
                <w:sz w:val="20"/>
              </w:rPr>
            </w:pPr>
            <w:r w:rsidRPr="00F64E40">
              <w:rPr>
                <w:rFonts w:ascii="Arial" w:hAnsi="Arial" w:cs="Arial"/>
                <w:sz w:val="20"/>
              </w:rPr>
              <w:t>Not commonly used in children.</w:t>
            </w:r>
          </w:p>
        </w:tc>
        <w:tc>
          <w:tcPr>
            <w:tcW w:w="1640" w:type="dxa"/>
          </w:tcPr>
          <w:p w:rsidR="00F64E40" w:rsidRPr="00F64E40" w:rsidRDefault="00F64E40" w:rsidP="00D91C5A">
            <w:pPr>
              <w:pStyle w:val="FL"/>
              <w:tabs>
                <w:tab w:val="right" w:pos="360"/>
                <w:tab w:val="left" w:pos="540"/>
              </w:tabs>
              <w:spacing w:line="240" w:lineRule="exact"/>
              <w:jc w:val="left"/>
              <w:rPr>
                <w:rFonts w:ascii="Arial" w:hAnsi="Arial" w:cs="Arial"/>
                <w:sz w:val="20"/>
              </w:rPr>
            </w:pPr>
            <w:r w:rsidRPr="00F64E40">
              <w:rPr>
                <w:rFonts w:ascii="Arial" w:hAnsi="Arial" w:cs="Arial"/>
                <w:sz w:val="20"/>
              </w:rPr>
              <w:t>Irreversibly blocks the ADP receptor of platelets and inhibits platelet aggregation</w:t>
            </w:r>
          </w:p>
        </w:tc>
        <w:tc>
          <w:tcPr>
            <w:tcW w:w="2152" w:type="dxa"/>
          </w:tcPr>
          <w:p w:rsidR="00F64E40" w:rsidRPr="00F64E40" w:rsidRDefault="00F64E40" w:rsidP="00D91C5A">
            <w:pPr>
              <w:pStyle w:val="FL"/>
              <w:tabs>
                <w:tab w:val="right" w:pos="360"/>
                <w:tab w:val="left" w:pos="540"/>
              </w:tabs>
              <w:spacing w:line="240" w:lineRule="exact"/>
              <w:jc w:val="left"/>
              <w:rPr>
                <w:rFonts w:ascii="Arial" w:hAnsi="Arial" w:cs="Arial"/>
                <w:sz w:val="20"/>
              </w:rPr>
            </w:pPr>
            <w:r w:rsidRPr="00F64E40">
              <w:rPr>
                <w:rFonts w:ascii="Arial" w:hAnsi="Arial" w:cs="Arial"/>
                <w:sz w:val="20"/>
              </w:rPr>
              <w:t xml:space="preserve">Has no effect on prostaglandins. </w:t>
            </w:r>
          </w:p>
        </w:tc>
      </w:tr>
      <w:tr w:rsidR="00F64E40" w:rsidRPr="00F64E40" w:rsidTr="00D91C5A">
        <w:tc>
          <w:tcPr>
            <w:tcW w:w="1684" w:type="dxa"/>
          </w:tcPr>
          <w:p w:rsidR="00F64E40" w:rsidRPr="00F64E40" w:rsidRDefault="00F64E40" w:rsidP="00D91C5A">
            <w:pPr>
              <w:pStyle w:val="FL"/>
              <w:tabs>
                <w:tab w:val="right" w:pos="360"/>
                <w:tab w:val="left" w:pos="540"/>
              </w:tabs>
              <w:spacing w:line="240" w:lineRule="exact"/>
              <w:jc w:val="left"/>
              <w:rPr>
                <w:rFonts w:ascii="Arial" w:hAnsi="Arial" w:cs="Arial"/>
                <w:b/>
                <w:sz w:val="20"/>
              </w:rPr>
            </w:pPr>
            <w:r w:rsidRPr="00F64E40">
              <w:rPr>
                <w:rFonts w:ascii="Arial" w:hAnsi="Arial" w:cs="Arial"/>
                <w:b/>
                <w:sz w:val="20"/>
              </w:rPr>
              <w:t>Other antithrombotic agents</w:t>
            </w:r>
          </w:p>
        </w:tc>
        <w:tc>
          <w:tcPr>
            <w:tcW w:w="2025" w:type="dxa"/>
          </w:tcPr>
          <w:p w:rsidR="00F64E40" w:rsidRPr="00F64E40" w:rsidRDefault="00F64E40" w:rsidP="00D91C5A">
            <w:pPr>
              <w:pStyle w:val="FL"/>
              <w:tabs>
                <w:tab w:val="right" w:pos="360"/>
                <w:tab w:val="left" w:pos="540"/>
              </w:tabs>
              <w:spacing w:line="240" w:lineRule="exact"/>
              <w:rPr>
                <w:rFonts w:ascii="Arial" w:hAnsi="Arial" w:cs="Arial"/>
                <w:sz w:val="20"/>
              </w:rPr>
            </w:pPr>
          </w:p>
        </w:tc>
        <w:tc>
          <w:tcPr>
            <w:tcW w:w="2597" w:type="dxa"/>
          </w:tcPr>
          <w:p w:rsidR="00F64E40" w:rsidRPr="00F64E40" w:rsidRDefault="00F64E40" w:rsidP="00D91C5A">
            <w:pPr>
              <w:pStyle w:val="FL"/>
              <w:tabs>
                <w:tab w:val="right" w:pos="360"/>
                <w:tab w:val="left" w:pos="540"/>
              </w:tabs>
              <w:spacing w:line="240" w:lineRule="exact"/>
              <w:jc w:val="left"/>
              <w:rPr>
                <w:rFonts w:ascii="Arial" w:hAnsi="Arial" w:cs="Arial"/>
                <w:sz w:val="20"/>
              </w:rPr>
            </w:pPr>
          </w:p>
        </w:tc>
        <w:tc>
          <w:tcPr>
            <w:tcW w:w="1640" w:type="dxa"/>
          </w:tcPr>
          <w:p w:rsidR="00F64E40" w:rsidRPr="00F64E40" w:rsidRDefault="00F64E40" w:rsidP="00D91C5A">
            <w:pPr>
              <w:pStyle w:val="FL"/>
              <w:tabs>
                <w:tab w:val="right" w:pos="360"/>
                <w:tab w:val="left" w:pos="540"/>
              </w:tabs>
              <w:spacing w:line="240" w:lineRule="exact"/>
              <w:jc w:val="left"/>
              <w:rPr>
                <w:rFonts w:ascii="Arial" w:hAnsi="Arial" w:cs="Arial"/>
                <w:sz w:val="20"/>
              </w:rPr>
            </w:pPr>
          </w:p>
        </w:tc>
        <w:tc>
          <w:tcPr>
            <w:tcW w:w="2152" w:type="dxa"/>
          </w:tcPr>
          <w:p w:rsidR="00F64E40" w:rsidRPr="00F64E40" w:rsidRDefault="00F64E40" w:rsidP="00D91C5A">
            <w:pPr>
              <w:pStyle w:val="FL"/>
              <w:tabs>
                <w:tab w:val="right" w:pos="360"/>
                <w:tab w:val="left" w:pos="540"/>
              </w:tabs>
              <w:spacing w:line="240" w:lineRule="exact"/>
              <w:jc w:val="left"/>
              <w:rPr>
                <w:rFonts w:ascii="Arial" w:hAnsi="Arial" w:cs="Arial"/>
                <w:sz w:val="20"/>
              </w:rPr>
            </w:pPr>
          </w:p>
        </w:tc>
      </w:tr>
      <w:tr w:rsidR="00F64E40" w:rsidRPr="00F64E40" w:rsidTr="00D91C5A">
        <w:tc>
          <w:tcPr>
            <w:tcW w:w="1684" w:type="dxa"/>
          </w:tcPr>
          <w:p w:rsidR="00F64E40" w:rsidRPr="00F64E40" w:rsidRDefault="00F64E40" w:rsidP="00D91C5A">
            <w:pPr>
              <w:pStyle w:val="FL"/>
              <w:tabs>
                <w:tab w:val="right" w:pos="360"/>
                <w:tab w:val="left" w:pos="540"/>
              </w:tabs>
              <w:spacing w:line="240" w:lineRule="exact"/>
              <w:jc w:val="left"/>
              <w:rPr>
                <w:rFonts w:ascii="Arial" w:hAnsi="Arial" w:cs="Arial"/>
                <w:sz w:val="20"/>
              </w:rPr>
            </w:pPr>
            <w:r w:rsidRPr="00F64E40">
              <w:rPr>
                <w:rFonts w:ascii="Arial" w:hAnsi="Arial" w:cs="Arial"/>
                <w:sz w:val="20"/>
              </w:rPr>
              <w:t>Protein C c</w:t>
            </w:r>
            <w:r w:rsidR="00F078D8">
              <w:rPr>
                <w:rFonts w:ascii="Arial" w:hAnsi="Arial" w:cs="Arial"/>
                <w:sz w:val="20"/>
              </w:rPr>
              <w:t>o</w:t>
            </w:r>
            <w:bookmarkStart w:id="0" w:name="_GoBack"/>
            <w:bookmarkEnd w:id="0"/>
            <w:r w:rsidRPr="00F64E40">
              <w:rPr>
                <w:rFonts w:ascii="Arial" w:hAnsi="Arial" w:cs="Arial"/>
                <w:sz w:val="20"/>
              </w:rPr>
              <w:t>ncentrate</w:t>
            </w:r>
          </w:p>
        </w:tc>
        <w:tc>
          <w:tcPr>
            <w:tcW w:w="2025" w:type="dxa"/>
          </w:tcPr>
          <w:p w:rsidR="00F64E40" w:rsidRPr="00F64E40" w:rsidRDefault="00F64E40" w:rsidP="00D91C5A">
            <w:pPr>
              <w:pStyle w:val="FL"/>
              <w:tabs>
                <w:tab w:val="right" w:pos="360"/>
                <w:tab w:val="left" w:pos="540"/>
              </w:tabs>
              <w:spacing w:line="240" w:lineRule="exact"/>
              <w:jc w:val="left"/>
              <w:rPr>
                <w:rFonts w:ascii="Arial" w:hAnsi="Arial" w:cs="Arial"/>
                <w:sz w:val="20"/>
              </w:rPr>
            </w:pPr>
            <w:r w:rsidRPr="00F64E40">
              <w:rPr>
                <w:rFonts w:ascii="Arial" w:hAnsi="Arial" w:cs="Arial"/>
                <w:sz w:val="20"/>
              </w:rPr>
              <w:t xml:space="preserve">For an acute episode or during a period of high risk for thrombosis, administer 100-120 IU/kg IV bolus followed by 60-80 IU/kg every 6 hours x 3 doses; then 45-60 IU/kg every 6 to 12 hours as maintenance. </w:t>
            </w:r>
          </w:p>
        </w:tc>
        <w:tc>
          <w:tcPr>
            <w:tcW w:w="2597" w:type="dxa"/>
          </w:tcPr>
          <w:p w:rsidR="00F64E40" w:rsidRPr="00F64E40" w:rsidRDefault="00F64E40" w:rsidP="00D91C5A">
            <w:pPr>
              <w:pStyle w:val="FL"/>
              <w:tabs>
                <w:tab w:val="right" w:pos="360"/>
                <w:tab w:val="left" w:pos="540"/>
              </w:tabs>
              <w:spacing w:line="240" w:lineRule="exact"/>
              <w:jc w:val="left"/>
              <w:rPr>
                <w:rFonts w:ascii="Arial" w:hAnsi="Arial" w:cs="Arial"/>
                <w:sz w:val="20"/>
              </w:rPr>
            </w:pPr>
            <w:r w:rsidRPr="00F64E40">
              <w:rPr>
                <w:rFonts w:ascii="Arial" w:hAnsi="Arial" w:cs="Arial"/>
                <w:sz w:val="20"/>
              </w:rPr>
              <w:t>Dosage and treatment duration depend on the severity of protein C deficiency and the clinical situation, including the progression (or resolution) of the thrombosis.</w:t>
            </w:r>
          </w:p>
          <w:p w:rsidR="00F64E40" w:rsidRPr="00F64E40" w:rsidRDefault="00F64E40" w:rsidP="00D91C5A">
            <w:pPr>
              <w:pStyle w:val="FL"/>
              <w:tabs>
                <w:tab w:val="right" w:pos="360"/>
                <w:tab w:val="left" w:pos="540"/>
              </w:tabs>
              <w:spacing w:line="240" w:lineRule="exact"/>
              <w:jc w:val="left"/>
              <w:rPr>
                <w:rFonts w:ascii="Arial" w:hAnsi="Arial" w:cs="Arial"/>
                <w:sz w:val="20"/>
              </w:rPr>
            </w:pPr>
            <w:r w:rsidRPr="00F64E40">
              <w:rPr>
                <w:rFonts w:ascii="Arial" w:hAnsi="Arial" w:cs="Arial"/>
                <w:sz w:val="20"/>
              </w:rPr>
              <w:t>For long-term prophylaxis, administer 45-60 IU/kg every 6 to 12 hours with a goal to achieve peak protein C activity &gt;25% U/dL.</w:t>
            </w:r>
          </w:p>
        </w:tc>
        <w:tc>
          <w:tcPr>
            <w:tcW w:w="1640" w:type="dxa"/>
          </w:tcPr>
          <w:p w:rsidR="00F64E40" w:rsidRPr="00F64E40" w:rsidRDefault="00F64E40" w:rsidP="00D91C5A">
            <w:pPr>
              <w:pStyle w:val="FL"/>
              <w:tabs>
                <w:tab w:val="right" w:pos="360"/>
                <w:tab w:val="left" w:pos="540"/>
              </w:tabs>
              <w:spacing w:line="240" w:lineRule="exact"/>
              <w:jc w:val="left"/>
              <w:rPr>
                <w:rFonts w:ascii="Arial" w:hAnsi="Arial" w:cs="Arial"/>
                <w:sz w:val="20"/>
              </w:rPr>
            </w:pPr>
            <w:r w:rsidRPr="00F64E40">
              <w:rPr>
                <w:rFonts w:ascii="Arial" w:hAnsi="Arial" w:cs="Arial"/>
                <w:sz w:val="20"/>
              </w:rPr>
              <w:t>Recombinant protein C used for replacement in deficient patients.</w:t>
            </w:r>
          </w:p>
        </w:tc>
        <w:tc>
          <w:tcPr>
            <w:tcW w:w="2152" w:type="dxa"/>
          </w:tcPr>
          <w:p w:rsidR="00F64E40" w:rsidRPr="00F64E40" w:rsidRDefault="00F64E40" w:rsidP="00D91C5A">
            <w:pPr>
              <w:pStyle w:val="FL"/>
              <w:tabs>
                <w:tab w:val="right" w:pos="360"/>
                <w:tab w:val="left" w:pos="540"/>
              </w:tabs>
              <w:spacing w:line="240" w:lineRule="exact"/>
              <w:jc w:val="left"/>
              <w:rPr>
                <w:rFonts w:ascii="Arial" w:hAnsi="Arial" w:cs="Arial"/>
                <w:sz w:val="20"/>
              </w:rPr>
            </w:pPr>
          </w:p>
        </w:tc>
      </w:tr>
      <w:tr w:rsidR="00F64E40" w:rsidRPr="00F64E40" w:rsidTr="00D91C5A">
        <w:tc>
          <w:tcPr>
            <w:tcW w:w="1684" w:type="dxa"/>
          </w:tcPr>
          <w:p w:rsidR="00F64E40" w:rsidRPr="00F64E40" w:rsidRDefault="00F64E40" w:rsidP="00D91C5A">
            <w:pPr>
              <w:pStyle w:val="FL"/>
              <w:tabs>
                <w:tab w:val="right" w:pos="360"/>
                <w:tab w:val="left" w:pos="540"/>
              </w:tabs>
              <w:spacing w:line="240" w:lineRule="exact"/>
              <w:jc w:val="left"/>
              <w:rPr>
                <w:rFonts w:ascii="Arial" w:hAnsi="Arial" w:cs="Arial"/>
                <w:sz w:val="20"/>
              </w:rPr>
            </w:pPr>
            <w:r w:rsidRPr="00F64E40">
              <w:rPr>
                <w:rFonts w:ascii="Arial" w:hAnsi="Arial" w:cs="Arial"/>
                <w:sz w:val="20"/>
              </w:rPr>
              <w:t>Antithrombin</w:t>
            </w:r>
          </w:p>
        </w:tc>
        <w:tc>
          <w:tcPr>
            <w:tcW w:w="2025" w:type="dxa"/>
          </w:tcPr>
          <w:p w:rsidR="00F64E40" w:rsidRPr="00F64E40" w:rsidRDefault="00F64E40" w:rsidP="00D91C5A">
            <w:pPr>
              <w:pStyle w:val="FL"/>
              <w:tabs>
                <w:tab w:val="right" w:pos="360"/>
                <w:tab w:val="left" w:pos="540"/>
              </w:tabs>
              <w:spacing w:line="240" w:lineRule="exact"/>
              <w:jc w:val="left"/>
              <w:rPr>
                <w:rFonts w:ascii="Arial" w:hAnsi="Arial" w:cs="Arial"/>
                <w:sz w:val="20"/>
              </w:rPr>
            </w:pPr>
            <w:r w:rsidRPr="00F64E40">
              <w:rPr>
                <w:rFonts w:ascii="Arial" w:hAnsi="Arial" w:cs="Arial"/>
                <w:sz w:val="20"/>
              </w:rPr>
              <w:t xml:space="preserve">Dosing is individualized based on pretherapy antithrombin activity levels to achieve an activity level 80% to 120% of normal. A loading dose should </w:t>
            </w:r>
            <w:r w:rsidRPr="00F64E40">
              <w:rPr>
                <w:rFonts w:ascii="Arial" w:hAnsi="Arial" w:cs="Arial"/>
                <w:sz w:val="20"/>
              </w:rPr>
              <w:lastRenderedPageBreak/>
              <w:t>be given as a 15-minute infusion, followed by maintenance dosing as a continuous infusion in situations with severe deficiency or critical illness.</w:t>
            </w:r>
          </w:p>
        </w:tc>
        <w:tc>
          <w:tcPr>
            <w:tcW w:w="2597" w:type="dxa"/>
          </w:tcPr>
          <w:p w:rsidR="00F64E40" w:rsidRPr="00F64E40" w:rsidRDefault="00F64E40" w:rsidP="00D91C5A">
            <w:pPr>
              <w:pStyle w:val="FL"/>
              <w:tabs>
                <w:tab w:val="right" w:pos="360"/>
                <w:tab w:val="left" w:pos="540"/>
              </w:tabs>
              <w:spacing w:line="240" w:lineRule="exact"/>
              <w:jc w:val="left"/>
              <w:rPr>
                <w:rFonts w:ascii="Arial" w:hAnsi="Arial" w:cs="Arial"/>
                <w:sz w:val="20"/>
              </w:rPr>
            </w:pPr>
            <w:r w:rsidRPr="00F64E40">
              <w:rPr>
                <w:rFonts w:ascii="Arial" w:hAnsi="Arial" w:cs="Arial"/>
                <w:sz w:val="20"/>
              </w:rPr>
              <w:lastRenderedPageBreak/>
              <w:t>In children with active thrombosis and antithrombin deficiency, the dose should be adjusted to maintain antithrombin levels between 80% to 120% of normal.</w:t>
            </w:r>
          </w:p>
        </w:tc>
        <w:tc>
          <w:tcPr>
            <w:tcW w:w="1640" w:type="dxa"/>
          </w:tcPr>
          <w:p w:rsidR="00F64E40" w:rsidRPr="00F64E40" w:rsidRDefault="00F64E40" w:rsidP="00D91C5A">
            <w:pPr>
              <w:pStyle w:val="FL"/>
              <w:tabs>
                <w:tab w:val="right" w:pos="360"/>
                <w:tab w:val="left" w:pos="540"/>
              </w:tabs>
              <w:spacing w:line="240" w:lineRule="exact"/>
              <w:jc w:val="left"/>
              <w:rPr>
                <w:rFonts w:ascii="Arial" w:hAnsi="Arial" w:cs="Arial"/>
                <w:sz w:val="20"/>
              </w:rPr>
            </w:pPr>
            <w:r w:rsidRPr="00F64E40">
              <w:rPr>
                <w:rFonts w:ascii="Arial" w:hAnsi="Arial" w:cs="Arial"/>
                <w:sz w:val="20"/>
              </w:rPr>
              <w:t xml:space="preserve">Recombinant antithrombin used to replace antithrombin in deficient patients with thrombosis or at high risk to </w:t>
            </w:r>
            <w:r w:rsidRPr="00F64E40">
              <w:rPr>
                <w:rFonts w:ascii="Arial" w:hAnsi="Arial" w:cs="Arial"/>
                <w:sz w:val="20"/>
              </w:rPr>
              <w:lastRenderedPageBreak/>
              <w:t>develop thrombosis</w:t>
            </w:r>
          </w:p>
        </w:tc>
        <w:tc>
          <w:tcPr>
            <w:tcW w:w="2152" w:type="dxa"/>
          </w:tcPr>
          <w:p w:rsidR="00F64E40" w:rsidRPr="00F64E40" w:rsidRDefault="00F64E40" w:rsidP="00D91C5A">
            <w:pPr>
              <w:pStyle w:val="FL"/>
              <w:tabs>
                <w:tab w:val="right" w:pos="360"/>
                <w:tab w:val="left" w:pos="540"/>
              </w:tabs>
              <w:spacing w:line="240" w:lineRule="exact"/>
              <w:jc w:val="left"/>
              <w:rPr>
                <w:rFonts w:ascii="Arial" w:hAnsi="Arial" w:cs="Arial"/>
                <w:sz w:val="20"/>
              </w:rPr>
            </w:pPr>
            <w:r w:rsidRPr="00F64E40">
              <w:rPr>
                <w:rFonts w:ascii="Arial" w:hAnsi="Arial" w:cs="Arial"/>
                <w:sz w:val="20"/>
              </w:rPr>
              <w:lastRenderedPageBreak/>
              <w:t xml:space="preserve">Because heparins anticoagulate via activation of antithrombin, patients with antithrombin deficiency who develop thrombosis may have an </w:t>
            </w:r>
            <w:r w:rsidRPr="00F64E40">
              <w:rPr>
                <w:rFonts w:ascii="Arial" w:hAnsi="Arial" w:cs="Arial"/>
                <w:sz w:val="20"/>
              </w:rPr>
              <w:lastRenderedPageBreak/>
              <w:t>inadequate response to heparin therapy, so measurement of the antithrombin level and replacement if deficient (&lt;50 to 80%) may be warranted.</w:t>
            </w:r>
          </w:p>
        </w:tc>
      </w:tr>
    </w:tbl>
    <w:p w:rsidR="00B5796D" w:rsidRPr="00F64E40" w:rsidRDefault="00B5796D">
      <w:pPr>
        <w:rPr>
          <w:sz w:val="20"/>
          <w:szCs w:val="20"/>
        </w:rPr>
      </w:pPr>
    </w:p>
    <w:sectPr w:rsidR="00B5796D" w:rsidRPr="00F64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40"/>
    <w:rsid w:val="00114605"/>
    <w:rsid w:val="00676130"/>
    <w:rsid w:val="00B5796D"/>
    <w:rsid w:val="00F078D8"/>
    <w:rsid w:val="00F6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E40"/>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
    <w:name w:val="FL"/>
    <w:basedOn w:val="Normal"/>
    <w:uiPriority w:val="99"/>
    <w:rsid w:val="00F64E40"/>
    <w:pPr>
      <w:keepLines/>
      <w:spacing w:after="0" w:line="220" w:lineRule="exact"/>
      <w:jc w:val="both"/>
    </w:pPr>
    <w:rPr>
      <w:rFonts w:ascii="Times" w:eastAsia="Times New Roman" w:hAnsi="Times" w:cs="Times"/>
      <w:noProof/>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E40"/>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
    <w:name w:val="FL"/>
    <w:basedOn w:val="Normal"/>
    <w:uiPriority w:val="99"/>
    <w:rsid w:val="00F64E40"/>
    <w:pPr>
      <w:keepLines/>
      <w:spacing w:after="0" w:line="220" w:lineRule="exact"/>
      <w:jc w:val="both"/>
    </w:pPr>
    <w:rPr>
      <w:rFonts w:ascii="Times" w:eastAsia="Times New Roman" w:hAnsi="Times" w:cs="Times"/>
      <w:noProof/>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dcterms:created xsi:type="dcterms:W3CDTF">2012-06-28T00:25:00Z</dcterms:created>
  <dcterms:modified xsi:type="dcterms:W3CDTF">2012-06-28T00:25:00Z</dcterms:modified>
</cp:coreProperties>
</file>